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/>
    <w:p w14:paraId="02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Фонд «Защитники Отечества» членам семей пропавших без вести</w:t>
      </w:r>
    </w:p>
    <w:p w14:paraId="03000000"/>
    <w:p w14:paraId="04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Указом Президента РФ от 20.03.2025 № 157 расширены полномочия Государственного фонда поддержки участников специальной военной операции «Защитники Отечества».</w:t>
      </w:r>
    </w:p>
    <w:p w14:paraId="05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качестве направления деятельности фонда закреплены организация и оказание поддержки и помощи членам семей лиц, пропавших без вести в период участия в СВО либо признанных безвестно отсутствующими в связи с участием в СВО.</w:t>
      </w:r>
    </w:p>
    <w:p w14:paraId="06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 оказывается психолого-психотерапевтическая помощь, содействие в получении мер социальной поддержки, услуг, бесплатной юридической помощи и во взаимодействии с органами власти, государственными, муниципальными, волонтерскими организациями, содействие по вопросам, связанным с безвестным отсутствием участников СВО, в том числе касающимся проведения идентификационных генетических исследований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2025-05-06T09:18:58Z</dcterms:modified>
</cp:coreProperties>
</file>