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 w:firstLine="850"/>
        <w:rPr>
          <w:rFonts w:ascii="Times New Roman" w:hAnsi="Times New Roman"/>
          <w:sz w:val="28"/>
        </w:rPr>
      </w:pPr>
    </w:p>
    <w:p w14:paraId="02000000">
      <w:pPr>
        <w:spacing w:after="0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Штраф на работе – нарушение закона</w:t>
      </w:r>
    </w:p>
    <w:p w14:paraId="03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4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Трудовым законодательством наложение на работников штрафа за неисполнение или ненадлежащее исполнение по его вине трудовых обязанностей не предусмотрено.</w:t>
      </w:r>
    </w:p>
    <w:p w14:paraId="05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этого Трудовым кодексом РФ предусмотрены меры дисциплинарного взыскания: замечание, выговор и увольнение.</w:t>
      </w:r>
    </w:p>
    <w:p w14:paraId="06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 внутренними нормативными актами организации может быть предусмотрена система премирования, позволяющая работодателю снижать размер премии или лишать ее работника за нарушение трудовой дисциплины.</w:t>
      </w:r>
    </w:p>
    <w:p w14:paraId="07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Поскольку премирование является стимулирующей выплатой, снижение или лишение премии не является дисциплинарным взысканием.</w:t>
      </w:r>
    </w:p>
    <w:p w14:paraId="08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применении штрафов информируйте Государственную инспекцию труда по Нижегородской области или органы прокуратуры. Также защита нарушенных трудовых прав может быть осуществлена в судебном порядке</w:t>
      </w:r>
      <w: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2025-06-03T08:52:03Z</dcterms:modified>
</cp:coreProperties>
</file>